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11 ביוני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כ"ב בסיוון תשפ"ג</w:t>
      </w:r>
      <w:r w:rsidRPr="00832AD7">
        <w:rPr>
          <w:rFonts w:ascii="Times New Roman" w:eastAsia="Times New Roman" w:hAnsi="Times New Roman" w:cs="David" w:hint="cs"/>
          <w:sz w:val="16"/>
          <w:szCs w:val="16"/>
          <w:rtl/>
        </w:rPr>
        <w:fldChar w:fldCharType="end"/>
      </w:r>
    </w:p>
    <w:p w:rsidR="00515986" w:rsidRPr="00391B5E" w:rsidRDefault="00983123" w:rsidP="00391B5E">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4700-1039-2023-005173</w:t>
      </w:r>
      <w:r w:rsidRPr="00832AD7">
        <w:rPr>
          <w:rFonts w:ascii="Times New Roman" w:eastAsia="Times New Roman" w:hAnsi="Times New Roman" w:cs="David" w:hint="cs"/>
          <w:sz w:val="16"/>
          <w:szCs w:val="16"/>
          <w:rtl/>
        </w:rPr>
        <w:fldChar w:fldCharType="end"/>
      </w:r>
    </w:p>
    <w:p w:rsidR="00515986" w:rsidRPr="009F00A1" w:rsidRDefault="00515986" w:rsidP="00391B5E">
      <w:pPr>
        <w:spacing w:after="120" w:line="360" w:lineRule="auto"/>
        <w:jc w:val="center"/>
        <w:rPr>
          <w:rFonts w:ascii="FrankRuehl" w:hAnsi="FrankRuehl" w:cs="FrankRuehl"/>
          <w:b/>
          <w:bCs/>
          <w:color w:val="323E4F" w:themeColor="text2" w:themeShade="BF"/>
          <w:sz w:val="32"/>
          <w:szCs w:val="32"/>
          <w:u w:val="single"/>
          <w:rtl/>
        </w:rPr>
      </w:pPr>
      <w:r w:rsidRPr="009F00A1">
        <w:rPr>
          <w:rFonts w:ascii="FrankRuehl" w:hAnsi="FrankRuehl" w:cs="FrankRuehl"/>
          <w:b/>
          <w:bCs/>
          <w:color w:val="323E4F" w:themeColor="text2" w:themeShade="BF"/>
          <w:sz w:val="32"/>
          <w:szCs w:val="32"/>
          <w:u w:val="single"/>
          <w:rtl/>
        </w:rPr>
        <w:t xml:space="preserve">תקציר </w:t>
      </w:r>
      <w:r w:rsidRPr="009F00A1">
        <w:rPr>
          <w:rFonts w:ascii="FrankRuehl" w:hAnsi="FrankRuehl" w:cs="FrankRuehl" w:hint="cs"/>
          <w:b/>
          <w:bCs/>
          <w:color w:val="323E4F" w:themeColor="text2" w:themeShade="BF"/>
          <w:sz w:val="32"/>
          <w:szCs w:val="32"/>
          <w:u w:val="single"/>
          <w:rtl/>
        </w:rPr>
        <w:t>גזר-דין</w:t>
      </w:r>
      <w:r w:rsidR="00391B5E">
        <w:rPr>
          <w:rFonts w:ascii="FrankRuehl" w:hAnsi="FrankRuehl" w:cs="FrankRuehl" w:hint="cs"/>
          <w:b/>
          <w:bCs/>
          <w:color w:val="323E4F" w:themeColor="text2" w:themeShade="BF"/>
          <w:sz w:val="32"/>
          <w:szCs w:val="32"/>
          <w:u w:val="single"/>
          <w:rtl/>
        </w:rPr>
        <w:t xml:space="preserve"> ת"פ 52796-09-22, כב' השופט יואב עטר</w:t>
      </w:r>
    </w:p>
    <w:p w:rsidR="00391B5E" w:rsidRPr="001F08DC" w:rsidRDefault="00391B5E" w:rsidP="00391B5E">
      <w:pPr>
        <w:spacing w:line="276" w:lineRule="auto"/>
        <w:jc w:val="both"/>
        <w:rPr>
          <w:rFonts w:ascii="David" w:hAnsi="David" w:cs="David"/>
          <w:sz w:val="24"/>
          <w:szCs w:val="24"/>
          <w:rtl/>
        </w:rPr>
      </w:pPr>
      <w:r w:rsidRPr="001F08DC">
        <w:rPr>
          <w:rFonts w:ascii="David" w:hAnsi="David" w:cs="David"/>
          <w:sz w:val="24"/>
          <w:szCs w:val="24"/>
          <w:rtl/>
        </w:rPr>
        <w:t xml:space="preserve">ביום 15.05.23 הודיעו הצדדים כי הגיעו להסדר טיעון לפיו כתב האישום יתוקן </w:t>
      </w:r>
      <w:r w:rsidRPr="001F08DC">
        <w:rPr>
          <w:rFonts w:ascii="David" w:hAnsi="David" w:cs="David" w:hint="cs"/>
          <w:sz w:val="24"/>
          <w:szCs w:val="24"/>
          <w:rtl/>
        </w:rPr>
        <w:t xml:space="preserve">(לעבירות שבסמכות בית משפט השלום) </w:t>
      </w:r>
      <w:r w:rsidRPr="001F08DC">
        <w:rPr>
          <w:rFonts w:ascii="David" w:hAnsi="David" w:cs="David"/>
          <w:sz w:val="24"/>
          <w:szCs w:val="24"/>
          <w:rtl/>
        </w:rPr>
        <w:t>והנאשם יודה ויורשע במיוחס לו בכתב האישום המתוקן</w:t>
      </w:r>
      <w:r w:rsidR="00B414AA">
        <w:rPr>
          <w:rFonts w:ascii="David" w:hAnsi="David" w:cs="David" w:hint="cs"/>
          <w:sz w:val="24"/>
          <w:szCs w:val="24"/>
          <w:rtl/>
        </w:rPr>
        <w:t xml:space="preserve"> ב</w:t>
      </w:r>
      <w:r w:rsidR="00B414AA" w:rsidRPr="00B414AA">
        <w:rPr>
          <w:rFonts w:ascii="David" w:hAnsi="David" w:cs="David"/>
          <w:sz w:val="24"/>
          <w:szCs w:val="24"/>
          <w:rtl/>
        </w:rPr>
        <w:t>תקיפת זקן שגרמה לחבלה של ממש</w:t>
      </w:r>
      <w:r w:rsidR="00B414AA">
        <w:rPr>
          <w:rFonts w:ascii="David" w:hAnsi="David" w:cs="David" w:hint="cs"/>
          <w:sz w:val="24"/>
          <w:szCs w:val="24"/>
          <w:rtl/>
        </w:rPr>
        <w:t xml:space="preserve">, </w:t>
      </w:r>
      <w:r w:rsidR="00B414AA" w:rsidRPr="00B414AA">
        <w:rPr>
          <w:rFonts w:ascii="David" w:hAnsi="David" w:cs="David"/>
          <w:sz w:val="24"/>
          <w:szCs w:val="24"/>
          <w:rtl/>
        </w:rPr>
        <w:t>פציעה בנסיבות מחמירות</w:t>
      </w:r>
      <w:r w:rsidR="00B414AA">
        <w:rPr>
          <w:rFonts w:ascii="David" w:hAnsi="David" w:cs="David" w:hint="cs"/>
          <w:sz w:val="24"/>
          <w:szCs w:val="24"/>
          <w:rtl/>
        </w:rPr>
        <w:t xml:space="preserve"> והחזקת סכין</w:t>
      </w:r>
      <w:r w:rsidRPr="001F08DC">
        <w:rPr>
          <w:rFonts w:ascii="David" w:hAnsi="David" w:cs="David"/>
          <w:sz w:val="24"/>
          <w:szCs w:val="24"/>
          <w:rtl/>
        </w:rPr>
        <w:t xml:space="preserve">. הצדדים הבהירו כי אין הסדר לעונש וכל צד יטען על פי מיטב הבנתו. </w:t>
      </w:r>
    </w:p>
    <w:p w:rsidR="00391B5E" w:rsidRPr="001F08DC" w:rsidRDefault="00391B5E" w:rsidP="00391B5E">
      <w:pPr>
        <w:spacing w:line="276" w:lineRule="auto"/>
        <w:jc w:val="both"/>
        <w:rPr>
          <w:rFonts w:ascii="David" w:hAnsi="David" w:cs="David"/>
          <w:sz w:val="24"/>
          <w:szCs w:val="24"/>
          <w:rtl/>
        </w:rPr>
      </w:pPr>
      <w:r w:rsidRPr="001F08DC">
        <w:rPr>
          <w:rFonts w:ascii="David" w:hAnsi="David" w:cs="David"/>
          <w:sz w:val="24"/>
          <w:szCs w:val="24"/>
          <w:rtl/>
        </w:rPr>
        <w:t>כתב האישום המתוקן מגולל מסכת מעשים מעוררת אימה, ומתאר מעין סרט אימה שחוותה המתלוננת באישון ליל ע</w:t>
      </w:r>
      <w:r w:rsidRPr="001F08DC">
        <w:rPr>
          <w:rFonts w:ascii="David" w:hAnsi="David" w:cs="David" w:hint="cs"/>
          <w:sz w:val="24"/>
          <w:szCs w:val="24"/>
          <w:rtl/>
        </w:rPr>
        <w:t>ל ידי</w:t>
      </w:r>
      <w:r w:rsidRPr="001F08DC">
        <w:rPr>
          <w:rFonts w:ascii="David" w:hAnsi="David" w:cs="David"/>
          <w:sz w:val="24"/>
          <w:szCs w:val="24"/>
          <w:rtl/>
        </w:rPr>
        <w:t xml:space="preserve"> זר שהקיש על דלת ביתה. לא ניתן להפריז בתחושות האימה והפחד שבהכרח אפפו את המתלוננת, קשישה כבת 82 בעת ביצוע המעשים, המתגוררת עם בעלה הנכה המרותק למיטתו, אשר בחצות הליל שומעת דפיקות חזקות על דלת ביתה, פותחת את הדלת ומיד, ללא כל סיבה נראית לעין וללא כל אזהרה, מותקפת באופן אכזרי ביותר על ידי אדם זר שהגיע כך סתם, בחצות הליל אל דלת ביתה. הלב נכמר למראה החבלות שתועדו בתמונות הצבעוניות על גופה של אותה קשישה והלב נכמר לא פחות במהלך הצפייה בסרטון מצלמת הגוף של השוטר</w:t>
      </w:r>
      <w:r w:rsidRPr="001F08DC">
        <w:rPr>
          <w:rFonts w:ascii="David" w:hAnsi="David" w:cs="David" w:hint="cs"/>
          <w:sz w:val="24"/>
          <w:szCs w:val="24"/>
          <w:rtl/>
        </w:rPr>
        <w:t xml:space="preserve"> שהגיע למקום האירוע.</w:t>
      </w:r>
      <w:r>
        <w:rPr>
          <w:rFonts w:ascii="David" w:hAnsi="David" w:cs="David" w:hint="cs"/>
          <w:sz w:val="24"/>
          <w:szCs w:val="24"/>
          <w:rtl/>
        </w:rPr>
        <w:t xml:space="preserve"> </w:t>
      </w:r>
      <w:r w:rsidRPr="001F08DC">
        <w:rPr>
          <w:rFonts w:ascii="David" w:hAnsi="David" w:cs="David"/>
          <w:sz w:val="24"/>
          <w:szCs w:val="24"/>
          <w:rtl/>
        </w:rPr>
        <w:t xml:space="preserve">העובדה שהנאשם, לאחר שהשוטר הגיע למקום וכיוון את האקדח, לא רק שלא נרתע והמשיך תחילה במעשיו, אלא אף ניסה לגרור את הקשישה לתוך הדירה ולהגיף את הדלת בפני השוטר דומה כי מדברת בעד עצמה ואין אלא להודות על כך שהשוטר הצליח למנוע את סגירת הדלת, ולסכל המשך הפגיעה במתלוננת, תוך שרק לאחר מכן הרים הנאשם את ידיו והשליך את הסכין בעקבות פעולות השוטר. </w:t>
      </w:r>
    </w:p>
    <w:p w:rsidR="00391B5E" w:rsidRPr="001F08DC" w:rsidRDefault="00391B5E" w:rsidP="00391B5E">
      <w:pPr>
        <w:spacing w:line="276" w:lineRule="auto"/>
        <w:jc w:val="both"/>
        <w:rPr>
          <w:rFonts w:ascii="David" w:hAnsi="David" w:cs="David"/>
          <w:sz w:val="24"/>
          <w:szCs w:val="24"/>
          <w:rtl/>
        </w:rPr>
      </w:pPr>
      <w:r w:rsidRPr="001F08DC">
        <w:rPr>
          <w:rFonts w:ascii="David" w:hAnsi="David" w:cs="David"/>
          <w:sz w:val="24"/>
          <w:szCs w:val="24"/>
          <w:rtl/>
        </w:rPr>
        <w:t>במסגרת ראיות המאשימה לעונש העידו המתלוננת ובנה</w:t>
      </w:r>
      <w:r w:rsidRPr="001F08DC">
        <w:rPr>
          <w:rFonts w:ascii="David" w:hAnsi="David" w:cs="David" w:hint="cs"/>
          <w:sz w:val="24"/>
          <w:szCs w:val="24"/>
          <w:rtl/>
        </w:rPr>
        <w:t xml:space="preserve"> ו</w:t>
      </w:r>
      <w:r w:rsidRPr="001F08DC">
        <w:rPr>
          <w:rFonts w:ascii="David" w:hAnsi="David" w:cs="David"/>
          <w:sz w:val="24"/>
          <w:szCs w:val="24"/>
          <w:rtl/>
        </w:rPr>
        <w:t>הוגש</w:t>
      </w:r>
      <w:r w:rsidRPr="001F08DC">
        <w:rPr>
          <w:rFonts w:ascii="David" w:hAnsi="David" w:cs="David" w:hint="cs"/>
          <w:sz w:val="24"/>
          <w:szCs w:val="24"/>
          <w:rtl/>
        </w:rPr>
        <w:t>ו</w:t>
      </w:r>
      <w:r w:rsidRPr="001F08DC">
        <w:rPr>
          <w:rFonts w:ascii="David" w:hAnsi="David" w:cs="David"/>
          <w:sz w:val="24"/>
          <w:szCs w:val="24"/>
          <w:rtl/>
        </w:rPr>
        <w:t xml:space="preserve"> גם סרטון מצלמת גוף של השוטר שהגיע ראשון לזירה (ת/2) ואשר תיעד חלק מההתרחשויות</w:t>
      </w:r>
      <w:r w:rsidRPr="001F08DC">
        <w:rPr>
          <w:rFonts w:ascii="David" w:hAnsi="David" w:cs="David" w:hint="cs"/>
          <w:sz w:val="24"/>
          <w:szCs w:val="24"/>
          <w:rtl/>
        </w:rPr>
        <w:t xml:space="preserve"> וגם תמונות של החבלות בקשישה לרבות תיעוד רפואי</w:t>
      </w:r>
      <w:r w:rsidRPr="001F08DC">
        <w:rPr>
          <w:rFonts w:ascii="David" w:hAnsi="David" w:cs="David"/>
          <w:sz w:val="24"/>
          <w:szCs w:val="24"/>
          <w:rtl/>
        </w:rPr>
        <w:t xml:space="preserve">. </w:t>
      </w:r>
    </w:p>
    <w:p w:rsidR="00391B5E" w:rsidRPr="00DA07D1" w:rsidRDefault="00391B5E" w:rsidP="00391B5E">
      <w:pPr>
        <w:spacing w:line="276" w:lineRule="auto"/>
        <w:jc w:val="both"/>
        <w:rPr>
          <w:rFonts w:ascii="David" w:hAnsi="David" w:cs="David"/>
          <w:sz w:val="24"/>
          <w:szCs w:val="24"/>
          <w:rtl/>
        </w:rPr>
      </w:pPr>
      <w:r w:rsidRPr="00DE0DFC">
        <w:rPr>
          <w:rFonts w:ascii="David" w:hAnsi="David" w:cs="David"/>
          <w:sz w:val="24"/>
          <w:szCs w:val="24"/>
          <w:rtl/>
        </w:rPr>
        <w:t>המאשימה עתרה לקביעת מתחם עונש הנע בין 36 חודשי מאסר בפועל לבין 60 חודשי מאסר בפועל. לצד מאסר על תנאי, פיצוי לכל אחד מקורבנות העבירה וקנס. ב"כ הנאשם עתר לקביעת מתחם עונש הנע בין 6 חודשי מאסר בפועל שירוצו בעבודות שירות לבין 24 חודשי מאסר בפועל וביקש לגזור את דינו של הנאשם ברף התחתון של</w:t>
      </w:r>
      <w:r w:rsidRPr="00DA07D1">
        <w:rPr>
          <w:rFonts w:ascii="David" w:hAnsi="David" w:cs="David"/>
          <w:sz w:val="24"/>
          <w:szCs w:val="24"/>
          <w:rtl/>
        </w:rPr>
        <w:t xml:space="preserve"> המתחם, דהיינו 6 חודשי מאסר בפועל בניכוי ימי מעצרו. </w:t>
      </w:r>
    </w:p>
    <w:p w:rsidR="00391B5E" w:rsidRPr="00DE0DFC" w:rsidRDefault="00391B5E" w:rsidP="00391B5E">
      <w:pPr>
        <w:spacing w:line="276" w:lineRule="auto"/>
        <w:jc w:val="both"/>
        <w:rPr>
          <w:rFonts w:ascii="David" w:hAnsi="David" w:cs="David"/>
          <w:sz w:val="24"/>
          <w:szCs w:val="24"/>
        </w:rPr>
      </w:pPr>
      <w:r w:rsidRPr="00DE0DFC">
        <w:rPr>
          <w:rFonts w:ascii="David" w:hAnsi="David" w:cs="David"/>
          <w:sz w:val="24"/>
          <w:szCs w:val="24"/>
          <w:rtl/>
        </w:rPr>
        <w:t xml:space="preserve">במעמד הצגת ההסדר הוברר כי נפגעי העבירה מתנגדים להסדר הטיעון ואף עתרו לבית המשפט העליון בשבתו כבג"צ כנגד הסדר הטיעון (בג"צ 2075/23). עיון בפסק הדין מיום 03.04.23 מלמד כי העתירה נדחתה תוך שבית המשפט העליון ציין כי: "...יובהר כי אין באמור כדי להביע כל עמדה לגבי הסדר הטיעון לגופו. בית המשפט הדן בתיק יבחן את הסדר הטיעון ויחליט אם יש לאשרו או לדחותו, בהתאם למיטב שיקול דעתו". </w:t>
      </w:r>
    </w:p>
    <w:p w:rsidR="00391B5E" w:rsidRDefault="00391B5E" w:rsidP="00391B5E">
      <w:pPr>
        <w:spacing w:after="0" w:line="276" w:lineRule="auto"/>
        <w:jc w:val="both"/>
        <w:rPr>
          <w:rFonts w:ascii="David" w:eastAsia="Times New Roman" w:hAnsi="David" w:cs="David"/>
          <w:sz w:val="24"/>
          <w:szCs w:val="24"/>
          <w:rtl/>
        </w:rPr>
      </w:pPr>
      <w:r>
        <w:rPr>
          <w:rFonts w:ascii="David" w:eastAsia="Times New Roman" w:hAnsi="David" w:cs="David" w:hint="cs"/>
          <w:sz w:val="24"/>
          <w:szCs w:val="24"/>
          <w:rtl/>
        </w:rPr>
        <w:t xml:space="preserve">בית המשפט קבע כי </w:t>
      </w:r>
      <w:r>
        <w:rPr>
          <w:rFonts w:ascii="David" w:eastAsia="Times New Roman" w:hAnsi="David" w:cs="David"/>
          <w:sz w:val="24"/>
          <w:szCs w:val="24"/>
          <w:rtl/>
        </w:rPr>
        <w:t xml:space="preserve">מקום בו האלימות בחברה הישראלית הולכת וגואה, הרי שבגדר שיקולי הענישה בתוך המתחם יש לתת גם משקל לשיקולי הרתעת הרבים, על מנת להעביר מסר חד לציבור לפיו לא ניתן להשלים עוד עם התגברות האלימות בחברה וכי מי שנוקט באלימות </w:t>
      </w:r>
      <w:proofErr w:type="spellStart"/>
      <w:r>
        <w:rPr>
          <w:rFonts w:ascii="David" w:eastAsia="Times New Roman" w:hAnsi="David" w:cs="David"/>
          <w:sz w:val="24"/>
          <w:szCs w:val="24"/>
          <w:rtl/>
        </w:rPr>
        <w:t>ישא</w:t>
      </w:r>
      <w:proofErr w:type="spellEnd"/>
      <w:r>
        <w:rPr>
          <w:rFonts w:ascii="David" w:eastAsia="Times New Roman" w:hAnsi="David" w:cs="David"/>
          <w:sz w:val="24"/>
          <w:szCs w:val="24"/>
          <w:rtl/>
        </w:rPr>
        <w:t xml:space="preserve"> במחיר משמעותי בשל מעשיו. </w:t>
      </w:r>
      <w:r w:rsidRPr="001F08DC">
        <w:rPr>
          <w:rFonts w:ascii="David" w:eastAsia="Times New Roman" w:hAnsi="David" w:cs="David" w:hint="cs"/>
          <w:sz w:val="24"/>
          <w:szCs w:val="24"/>
          <w:rtl/>
        </w:rPr>
        <w:t>גזירת הדין אינה נובעת רק מסעיפי העבירות בהן הורשע הנאשם אלא גם מנסיבות המקרה הפרטניות. על העונש לאזן את מכלול השיקולים ובין השאר מהווה נגזרת של העבירות בהן הור</w:t>
      </w:r>
      <w:r>
        <w:rPr>
          <w:rFonts w:ascii="David" w:eastAsia="Times New Roman" w:hAnsi="David" w:cs="David" w:hint="cs"/>
          <w:sz w:val="24"/>
          <w:szCs w:val="24"/>
          <w:rtl/>
        </w:rPr>
        <w:t xml:space="preserve">שע הנאשם לאחר תיקון כתב האישום. </w:t>
      </w:r>
      <w:r w:rsidRPr="001F08DC">
        <w:rPr>
          <w:rFonts w:ascii="David" w:eastAsia="Times New Roman" w:hAnsi="David" w:cs="David"/>
          <w:sz w:val="24"/>
          <w:szCs w:val="24"/>
          <w:rtl/>
        </w:rPr>
        <w:t>לקולת הנאשם נת</w:t>
      </w:r>
      <w:r w:rsidRPr="001F08DC">
        <w:rPr>
          <w:rFonts w:ascii="David" w:eastAsia="Times New Roman" w:hAnsi="David" w:cs="David" w:hint="cs"/>
          <w:sz w:val="24"/>
          <w:szCs w:val="24"/>
          <w:rtl/>
        </w:rPr>
        <w:t>ן בית המשפט משקל</w:t>
      </w:r>
      <w:r w:rsidRPr="001F08DC">
        <w:rPr>
          <w:rFonts w:ascii="David" w:eastAsia="Times New Roman" w:hAnsi="David" w:cs="David"/>
          <w:sz w:val="24"/>
          <w:szCs w:val="24"/>
          <w:rtl/>
        </w:rPr>
        <w:t xml:space="preserve"> להודאתו המגלמת נטילת אחריות לצד חסכון בזמן שיפוטי </w:t>
      </w:r>
      <w:r w:rsidRPr="001F08DC">
        <w:rPr>
          <w:rFonts w:ascii="David" w:eastAsia="Times New Roman" w:hAnsi="David" w:cs="David" w:hint="cs"/>
          <w:sz w:val="24"/>
          <w:szCs w:val="24"/>
          <w:rtl/>
        </w:rPr>
        <w:t>ו</w:t>
      </w:r>
      <w:r w:rsidRPr="001F08DC">
        <w:rPr>
          <w:rFonts w:ascii="David" w:eastAsia="Times New Roman" w:hAnsi="David" w:cs="David"/>
          <w:sz w:val="24"/>
          <w:szCs w:val="24"/>
          <w:rtl/>
        </w:rPr>
        <w:t xml:space="preserve">לכך שהנאשם נעדר הרשעות קודמות. </w:t>
      </w:r>
      <w:r w:rsidRPr="001F08DC">
        <w:rPr>
          <w:rFonts w:ascii="David" w:eastAsia="Times New Roman" w:hAnsi="David" w:cs="David" w:hint="cs"/>
          <w:sz w:val="24"/>
          <w:szCs w:val="24"/>
          <w:rtl/>
        </w:rPr>
        <w:t>בה</w:t>
      </w:r>
      <w:r w:rsidRPr="001F08DC">
        <w:rPr>
          <w:rFonts w:ascii="David" w:eastAsia="Times New Roman" w:hAnsi="David" w:cs="David"/>
          <w:sz w:val="24"/>
          <w:szCs w:val="24"/>
          <w:rtl/>
        </w:rPr>
        <w:t xml:space="preserve">ודאתו חסך מנפגעי העבירה את הכורח לחוות מחדש את האירוע על דוכן העדים ולעמוד בחקירה נגדית. </w:t>
      </w:r>
    </w:p>
    <w:p w:rsidR="00391B5E" w:rsidRPr="001F08DC" w:rsidRDefault="00391B5E" w:rsidP="00391B5E">
      <w:pPr>
        <w:spacing w:after="0" w:line="276" w:lineRule="auto"/>
        <w:jc w:val="both"/>
        <w:rPr>
          <w:rFonts w:ascii="David" w:eastAsia="Times New Roman" w:hAnsi="David" w:cs="David"/>
          <w:sz w:val="24"/>
          <w:szCs w:val="24"/>
          <w:rtl/>
        </w:rPr>
      </w:pPr>
    </w:p>
    <w:p w:rsidR="00515986" w:rsidRPr="00391B5E" w:rsidRDefault="00391B5E" w:rsidP="00B414AA">
      <w:pPr>
        <w:spacing w:line="276" w:lineRule="auto"/>
        <w:jc w:val="both"/>
        <w:rPr>
          <w:rFonts w:ascii="David" w:eastAsia="Times New Roman" w:hAnsi="David" w:cs="David"/>
          <w:sz w:val="24"/>
          <w:szCs w:val="24"/>
          <w:rtl/>
        </w:rPr>
      </w:pPr>
      <w:r w:rsidRPr="001F08DC">
        <w:rPr>
          <w:rFonts w:ascii="David" w:hAnsi="David" w:cs="David" w:hint="cs"/>
          <w:sz w:val="24"/>
          <w:szCs w:val="24"/>
          <w:rtl/>
        </w:rPr>
        <w:t xml:space="preserve">בית המשפט גזר על הנאשם </w:t>
      </w:r>
      <w:r w:rsidRPr="001F08DC">
        <w:rPr>
          <w:rFonts w:ascii="David" w:eastAsia="Times New Roman" w:hAnsi="David" w:cs="David"/>
          <w:sz w:val="24"/>
          <w:szCs w:val="24"/>
          <w:rtl/>
        </w:rPr>
        <w:t>4</w:t>
      </w:r>
      <w:r w:rsidR="00B414AA">
        <w:rPr>
          <w:rFonts w:ascii="David" w:eastAsia="Times New Roman" w:hAnsi="David" w:cs="David" w:hint="cs"/>
          <w:sz w:val="24"/>
          <w:szCs w:val="24"/>
          <w:rtl/>
        </w:rPr>
        <w:t>8</w:t>
      </w:r>
      <w:r w:rsidRPr="001F08DC">
        <w:rPr>
          <w:rFonts w:ascii="David" w:eastAsia="Times New Roman" w:hAnsi="David" w:cs="David"/>
          <w:sz w:val="24"/>
          <w:szCs w:val="24"/>
          <w:rtl/>
        </w:rPr>
        <w:t xml:space="preserve"> חודשי מאסר בפועל, בניכוי ימי מעצרו בגין התיק בכותרת בהתאם לרישומי שב"ס. 12 חודשי מאסר, וזאת על תנאי שלא יעבור, משך שלוש שנים מהיום, כל עבירת אלימות מסוג פשע.</w:t>
      </w:r>
      <w:r w:rsidRPr="001F08DC">
        <w:rPr>
          <w:rFonts w:ascii="David" w:eastAsia="Times New Roman" w:hAnsi="David" w:cs="David" w:hint="cs"/>
          <w:sz w:val="24"/>
          <w:szCs w:val="24"/>
          <w:rtl/>
        </w:rPr>
        <w:t xml:space="preserve"> </w:t>
      </w:r>
      <w:r w:rsidRPr="001F08DC">
        <w:rPr>
          <w:rFonts w:ascii="David" w:eastAsia="Times New Roman" w:hAnsi="David" w:cs="David"/>
          <w:sz w:val="24"/>
          <w:szCs w:val="24"/>
          <w:rtl/>
        </w:rPr>
        <w:t>6 חודשי מאסר, וזאת על תנאי שלא יעבור, משך שלוש שנים מהי</w:t>
      </w:r>
      <w:r w:rsidR="00B414AA">
        <w:rPr>
          <w:rFonts w:ascii="David" w:eastAsia="Times New Roman" w:hAnsi="David" w:cs="David"/>
          <w:sz w:val="24"/>
          <w:szCs w:val="24"/>
          <w:rtl/>
        </w:rPr>
        <w:t>ום,</w:t>
      </w:r>
      <w:r w:rsidRPr="001F08DC">
        <w:rPr>
          <w:rFonts w:ascii="David" w:eastAsia="Times New Roman" w:hAnsi="David" w:cs="David"/>
          <w:sz w:val="24"/>
          <w:szCs w:val="24"/>
          <w:rtl/>
        </w:rPr>
        <w:t xml:space="preserve"> כל עבירת אלימות מסוג עוון.</w:t>
      </w:r>
      <w:r w:rsidRPr="001F08DC">
        <w:rPr>
          <w:rFonts w:ascii="David" w:eastAsia="Times New Roman" w:hAnsi="David" w:cs="David" w:hint="cs"/>
          <w:sz w:val="24"/>
          <w:szCs w:val="24"/>
          <w:rtl/>
        </w:rPr>
        <w:t xml:space="preserve"> </w:t>
      </w:r>
      <w:r w:rsidRPr="001F08DC">
        <w:rPr>
          <w:rFonts w:ascii="David" w:eastAsia="Times New Roman" w:hAnsi="David" w:cs="David"/>
          <w:sz w:val="24"/>
          <w:szCs w:val="24"/>
          <w:rtl/>
        </w:rPr>
        <w:t>קנס כספי בסך 5,000 ₪, או 25 ימי מאסר תמורתו</w:t>
      </w:r>
      <w:r w:rsidRPr="001F08DC">
        <w:rPr>
          <w:rFonts w:ascii="David" w:eastAsia="Times New Roman" w:hAnsi="David" w:cs="David" w:hint="cs"/>
          <w:sz w:val="24"/>
          <w:szCs w:val="24"/>
          <w:rtl/>
        </w:rPr>
        <w:t xml:space="preserve"> ופיצויים לנפגעי העבירה.</w:t>
      </w:r>
    </w:p>
    <w:p w:rsidR="002453CF" w:rsidRPr="00391B5E" w:rsidRDefault="00515986" w:rsidP="00391B5E">
      <w:pPr>
        <w:spacing w:after="120" w:line="360" w:lineRule="auto"/>
        <w:jc w:val="center"/>
        <w:rPr>
          <w:rFonts w:ascii="FrankRuehl" w:hAnsi="FrankRuehl" w:cs="FrankRuehl"/>
          <w:b/>
          <w:bCs/>
          <w:color w:val="323E4F" w:themeColor="text2" w:themeShade="BF"/>
          <w:sz w:val="26"/>
          <w:szCs w:val="26"/>
          <w:rtl/>
        </w:rPr>
      </w:pPr>
      <w:r w:rsidRPr="009F00A1">
        <w:rPr>
          <w:rFonts w:ascii="FrankRuehl" w:hAnsi="FrankRuehl" w:cs="FrankRuehl" w:hint="cs"/>
          <w:b/>
          <w:bCs/>
          <w:color w:val="323E4F" w:themeColor="text2" w:themeShade="BF"/>
          <w:sz w:val="26"/>
          <w:szCs w:val="26"/>
          <w:rtl/>
        </w:rPr>
        <w:t>***</w:t>
      </w:r>
      <w:r>
        <w:rPr>
          <w:rFonts w:ascii="FrankRuehl" w:hAnsi="FrankRuehl" w:cs="FrankRuehl" w:hint="cs"/>
          <w:b/>
          <w:bCs/>
          <w:color w:val="323E4F" w:themeColor="text2" w:themeShade="BF"/>
          <w:sz w:val="26"/>
          <w:szCs w:val="26"/>
          <w:rtl/>
        </w:rPr>
        <w:t xml:space="preserve"> </w:t>
      </w:r>
      <w:r w:rsidRPr="009F00A1">
        <w:rPr>
          <w:rFonts w:ascii="FrankRuehl" w:hAnsi="FrankRuehl" w:cs="FrankRuehl"/>
          <w:b/>
          <w:bCs/>
          <w:color w:val="323E4F" w:themeColor="text2" w:themeShade="BF"/>
          <w:sz w:val="26"/>
          <w:szCs w:val="26"/>
          <w:rtl/>
        </w:rPr>
        <w:t>התקציר אינו בא להחליף את פסק</w:t>
      </w:r>
      <w:r w:rsidRPr="009F00A1">
        <w:rPr>
          <w:rFonts w:ascii="FrankRuehl" w:hAnsi="FrankRuehl" w:cs="FrankRuehl" w:hint="cs"/>
          <w:b/>
          <w:bCs/>
          <w:color w:val="323E4F" w:themeColor="text2" w:themeShade="BF"/>
          <w:sz w:val="26"/>
          <w:szCs w:val="26"/>
          <w:rtl/>
        </w:rPr>
        <w:t>-</w:t>
      </w:r>
      <w:r w:rsidRPr="009F00A1">
        <w:rPr>
          <w:rFonts w:ascii="FrankRuehl" w:hAnsi="FrankRuehl" w:cs="FrankRuehl"/>
          <w:b/>
          <w:bCs/>
          <w:color w:val="323E4F" w:themeColor="text2" w:themeShade="BF"/>
          <w:sz w:val="26"/>
          <w:szCs w:val="26"/>
          <w:rtl/>
        </w:rPr>
        <w:t>הדין, הנוסח המחייב הוא זה של פסק-הדין המלא</w:t>
      </w:r>
      <w:r>
        <w:rPr>
          <w:rFonts w:ascii="FrankRuehl" w:hAnsi="FrankRuehl" w:cs="FrankRuehl" w:hint="cs"/>
          <w:b/>
          <w:bCs/>
          <w:color w:val="323E4F" w:themeColor="text2" w:themeShade="BF"/>
          <w:sz w:val="26"/>
          <w:szCs w:val="26"/>
          <w:rtl/>
        </w:rPr>
        <w:t xml:space="preserve"> </w:t>
      </w:r>
      <w:r w:rsidRPr="009F00A1">
        <w:rPr>
          <w:rFonts w:ascii="FrankRuehl" w:hAnsi="FrankRuehl" w:cs="FrankRuehl" w:hint="cs"/>
          <w:b/>
          <w:bCs/>
          <w:color w:val="323E4F" w:themeColor="text2" w:themeShade="BF"/>
          <w:sz w:val="26"/>
          <w:szCs w:val="26"/>
          <w:rtl/>
        </w:rPr>
        <w:t>***</w:t>
      </w:r>
    </w:p>
    <w:sectPr w:rsidR="002453CF" w:rsidRPr="00391B5E"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45B" w:rsidRDefault="0047045B" w:rsidP="00730CA1">
      <w:pPr>
        <w:spacing w:after="0" w:line="240" w:lineRule="auto"/>
      </w:pPr>
      <w:r>
        <w:separator/>
      </w:r>
    </w:p>
  </w:endnote>
  <w:endnote w:type="continuationSeparator" w:id="0">
    <w:p w:rsidR="0047045B" w:rsidRDefault="0047045B"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1AF" w:rsidRPr="003C61AF" w:rsidRDefault="003C61AF" w:rsidP="003C61AF">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3C61AF" w:rsidRPr="003C61AF" w:rsidRDefault="003C61AF" w:rsidP="003C61AF">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hint="cs"/>
        <w:b/>
        <w:bCs/>
        <w:color w:val="000080"/>
        <w:spacing w:val="6"/>
        <w:sz w:val="24"/>
        <w:szCs w:val="24"/>
        <w:rtl/>
      </w:rPr>
      <w:t xml:space="preserve">בית משפט העליון רח' שערי משפט, </w:t>
    </w:r>
    <w:proofErr w:type="spellStart"/>
    <w:r w:rsidRPr="003C61AF">
      <w:rPr>
        <w:rFonts w:ascii="Times New Roman" w:eastAsia="Times New Roman" w:hAnsi="Times New Roman" w:cs="FrankRuehl" w:hint="cs"/>
        <w:b/>
        <w:bCs/>
        <w:color w:val="000080"/>
        <w:spacing w:val="6"/>
        <w:sz w:val="24"/>
        <w:szCs w:val="24"/>
        <w:rtl/>
      </w:rPr>
      <w:t>קרית</w:t>
    </w:r>
    <w:proofErr w:type="spellEnd"/>
    <w:r w:rsidRPr="003C61AF">
      <w:rPr>
        <w:rFonts w:ascii="Times New Roman" w:eastAsia="Times New Roman" w:hAnsi="Times New Roman" w:cs="FrankRuehl" w:hint="cs"/>
        <w:b/>
        <w:bCs/>
        <w:color w:val="000080"/>
        <w:spacing w:val="6"/>
        <w:sz w:val="24"/>
        <w:szCs w:val="24"/>
        <w:rtl/>
      </w:rPr>
      <w:t xml:space="preserve"> בן גוריון, ירושלים</w:t>
    </w:r>
  </w:p>
  <w:p w:rsidR="003C61AF" w:rsidRPr="003C61AF" w:rsidRDefault="003C61AF" w:rsidP="003C61AF">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45B" w:rsidRDefault="0047045B" w:rsidP="00730CA1">
      <w:pPr>
        <w:spacing w:after="0" w:line="240" w:lineRule="auto"/>
      </w:pPr>
      <w:r>
        <w:separator/>
      </w:r>
    </w:p>
  </w:footnote>
  <w:footnote w:type="continuationSeparator" w:id="0">
    <w:p w:rsidR="0047045B" w:rsidRDefault="0047045B"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285040" cy="336865"/>
          <wp:effectExtent l="0" t="0" r="1270" b="635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20" cy="340387"/>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7007D7" w:rsidRPr="00391B5E" w:rsidRDefault="00391B5E"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0"/>
        <w:szCs w:val="20"/>
        <w:rtl/>
        <w:lang w:eastAsia="he-IL"/>
      </w:rPr>
    </w:pPr>
    <w:r>
      <w:rPr>
        <w:rFonts w:ascii="Times New Roman" w:eastAsia="Times New Roman" w:hAnsi="Times New Roman" w:cs="FrankRuehl" w:hint="cs"/>
        <w:b/>
        <w:bCs/>
        <w:color w:val="000080"/>
        <w:spacing w:val="6"/>
        <w:sz w:val="20"/>
        <w:szCs w:val="20"/>
        <w:rtl/>
        <w:lang w:eastAsia="he-IL"/>
      </w:rPr>
      <w:t>בית המשפט המחוזי באר שבע</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1B5E"/>
    <w:rsid w:val="003921C3"/>
    <w:rsid w:val="003C61AF"/>
    <w:rsid w:val="003E6E39"/>
    <w:rsid w:val="003E7EB7"/>
    <w:rsid w:val="00426AA7"/>
    <w:rsid w:val="0047045B"/>
    <w:rsid w:val="00515986"/>
    <w:rsid w:val="005253B2"/>
    <w:rsid w:val="00631744"/>
    <w:rsid w:val="00690B6F"/>
    <w:rsid w:val="006B7B96"/>
    <w:rsid w:val="006C3B1F"/>
    <w:rsid w:val="006F1E1F"/>
    <w:rsid w:val="007007D7"/>
    <w:rsid w:val="00711675"/>
    <w:rsid w:val="00730CA1"/>
    <w:rsid w:val="007B7899"/>
    <w:rsid w:val="00832AD7"/>
    <w:rsid w:val="008C02E0"/>
    <w:rsid w:val="00983123"/>
    <w:rsid w:val="009E5C0E"/>
    <w:rsid w:val="00A641AC"/>
    <w:rsid w:val="00AD7644"/>
    <w:rsid w:val="00B16422"/>
    <w:rsid w:val="00B22AFC"/>
    <w:rsid w:val="00B414AA"/>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4FF63FEE-C139-486C-A0E4-438BA433F83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593</Words>
  <Characters>2966</Characters>
  <Application>Microsoft Office Word</Application>
  <DocSecurity>0</DocSecurity>
  <Lines>24</Lines>
  <Paragraphs>7</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2023-06-11T12:55:00Z</dcterms:created>
  <dcterms:modified xsi:type="dcterms:W3CDTF">2023-06-11T12:55:00Z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11 ביוני 2023</vt:lpwstr>
  </property>
  <property fmtid="{D5CDD505-2E9C-101B-9397-08002B2CF9AE}" pid="3" name="DocDateHeb">
    <vt:lpwstr>כ"ב בסיוון תשפ"ג</vt:lpwstr>
  </property>
  <property fmtid="{D5CDD505-2E9C-101B-9397-08002B2CF9AE}" pid="4" name="DocNumber">
    <vt:lpwstr>4700-1039-2023-005173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גז"ד 52796-09-22</vt:lpwstr>
  </property>
</Properties>
</file>